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74" w:after="74" w:line="400" w:lineRule="exact"/>
        <w:jc w:val="center"/>
        <w:rPr>
          <w:rFonts w:ascii="黑体" w:hAnsi="黑体" w:eastAsia="黑体" w:cs="宋体"/>
          <w:color w:val="333333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333333"/>
          <w:sz w:val="36"/>
          <w:szCs w:val="36"/>
        </w:rPr>
        <w:t>日丰企业集团有限公司</w:t>
      </w:r>
    </w:p>
    <w:p>
      <w:pPr>
        <w:snapToGrid w:val="0"/>
        <w:spacing w:before="74" w:after="74" w:line="400" w:lineRule="exact"/>
        <w:jc w:val="center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202</w:t>
      </w:r>
      <w:r>
        <w:rPr>
          <w:rFonts w:ascii="黑体" w:hAnsi="黑体" w:eastAsia="黑体" w:cs="宋体"/>
          <w:b/>
          <w:bCs/>
          <w:color w:val="333333"/>
          <w:sz w:val="24"/>
          <w:szCs w:val="24"/>
        </w:rPr>
        <w:t>5</w:t>
      </w: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届校园招聘</w:t>
      </w:r>
    </w:p>
    <w:p>
      <w:pPr>
        <w:snapToGrid w:val="0"/>
        <w:spacing w:before="60" w:after="60" w:line="400" w:lineRule="exact"/>
        <w:ind w:firstLine="600" w:firstLineChars="250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日丰企业集团有限公司成立于1996年，是中国新型管道研发生产与推广应用的先行者。日丰集团经过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2</w:t>
      </w:r>
      <w:r>
        <w:rPr>
          <w:rFonts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8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年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的沉淀与发展，已成为一家集研发、生产、销售、服务为一体的大型国家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高新技术企业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。日丰产品涵盖给水、排水、净水、防水、采暖、护套、市政、燃气、五金卫浴等多个领域。日丰产品以其卓越产品品质和品牌美誉度，获得全球亿万用户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的广泛认可，通过了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</w:rPr>
        <w:t>美国NSF、德国DVGW、英国WRAS等十多个国家，五十多项国际认证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，并不断加大力度开拓海外市场，相继成立了美国、印尼子公司，并在非洲及东南亚等</w:t>
      </w:r>
      <w:r>
        <w:rPr>
          <w:rFonts w:hint="eastAsia" w:ascii="黑体" w:hAnsi="黑体" w:eastAsia="黑体" w:cs="宋体"/>
          <w:b/>
          <w:bCs/>
          <w:color w:val="FF0000"/>
          <w:kern w:val="0"/>
          <w:sz w:val="24"/>
          <w:szCs w:val="24"/>
        </w:rPr>
        <w:t>十余个国家建立本土化运营团队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</w:rPr>
        <w:t>。</w:t>
      </w:r>
      <w:r>
        <w:rPr>
          <w:rFonts w:hint="eastAsia" w:ascii="黑体" w:hAnsi="黑体" w:eastAsia="黑体" w:cs="宋体"/>
          <w:color w:val="333333"/>
          <w:sz w:val="24"/>
          <w:szCs w:val="24"/>
        </w:rPr>
        <w:t>产品畅销世界一百多个国家和地区。创立二十多年来，已为全球亿万家庭提供全屋管道系统的解决方案，打造了属于他们舒适、安全的居住空间。</w:t>
      </w:r>
    </w:p>
    <w:p>
      <w:pPr>
        <w:snapToGrid w:val="0"/>
        <w:spacing w:before="60" w:after="60" w:line="400" w:lineRule="exact"/>
        <w:ind w:firstLine="600" w:firstLineChars="250"/>
        <w:rPr>
          <w:rFonts w:ascii="黑体" w:hAnsi="黑体" w:eastAsia="黑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>凭借自身品牌的发展，日丰企业集团先后荣获“中国驰名商标”、“中国名牌”、“国家火炬计划重点高新技术企业”等多项殊荣</w:t>
      </w:r>
      <w:r>
        <w:rPr>
          <w:rFonts w:hint="eastAsia" w:ascii="黑体" w:hAnsi="黑体" w:eastAsia="黑体" w:cs="宋体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日丰已申请成立</w:t>
      </w:r>
      <w:r>
        <w:rPr>
          <w:rFonts w:hint="eastAsia" w:ascii="黑体" w:hAnsi="黑体" w:eastAsia="黑体" w:cs="宋体"/>
          <w:color w:val="FF0000"/>
          <w:sz w:val="24"/>
          <w:szCs w:val="24"/>
          <w:shd w:val="clear" w:color="auto" w:fill="FFFFFF"/>
        </w:rPr>
        <w:t>“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佛山企业博士后工作站分站”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，并建有国家级企业技术中心、国家CNAS认证实验室、广东省复合管道系统工程技术研究开发中心、广东省企业重点实验室等研发机构，至今，日丰已获得国内外共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千余项专利授权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。这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shd w:val="clear" w:color="auto" w:fill="FFFFFF"/>
        </w:rPr>
        <w:t>些都为产品品质提供了最有力的坚实保障，也是日丰一直处于行业领先地位的基石。</w:t>
      </w: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日丰企业集团在全球已完成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9大生产基地</w:t>
      </w:r>
      <w:r>
        <w:rPr>
          <w:rFonts w:hint="eastAsia" w:ascii="黑体" w:hAnsi="黑体" w:eastAsia="黑体" w:cs="宋体"/>
          <w:sz w:val="24"/>
          <w:szCs w:val="24"/>
          <w:shd w:val="clear" w:color="auto" w:fill="FFFFFF"/>
        </w:rPr>
        <w:t>布局，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现有</w:t>
      </w:r>
      <w:r>
        <w:rPr>
          <w:rFonts w:hint="eastAsia" w:ascii="黑体" w:hAnsi="黑体" w:eastAsia="黑体" w:cs="宋体"/>
          <w:color w:val="000000"/>
          <w:sz w:val="24"/>
          <w:szCs w:val="24"/>
          <w:shd w:val="clear" w:color="auto" w:fill="FFFFFF"/>
        </w:rPr>
        <w:t>员工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6500余人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。自2000年开展校园招聘以来，日丰秉承“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让精英推动日丰发展，让日丰引领精英腾飞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”的人才理念，已将多名历届的应届生培养成长为集团中高层。日丰坚信，在企业发展的同时更要营造良好企业文化，为员工</w:t>
      </w:r>
      <w:r>
        <w:rPr>
          <w:rFonts w:hint="eastAsia" w:ascii="黑体" w:hAnsi="黑体" w:eastAsia="黑体" w:cs="宋体"/>
          <w:color w:val="333333"/>
          <w:kern w:val="0"/>
          <w:sz w:val="24"/>
          <w:szCs w:val="24"/>
          <w:shd w:val="clear" w:color="auto" w:fill="FFFFFF"/>
        </w:rPr>
        <w:t>创造良好工作环境及薪酬福利条件，拓宽员工职业发展通道、满足员工发展提升要求，努力提升员工认同感和归属感。关怀</w:t>
      </w:r>
      <w:r>
        <w:rPr>
          <w:rFonts w:hint="eastAsia" w:ascii="黑体" w:hAnsi="黑体" w:eastAsia="黑体" w:cs="宋体"/>
          <w:color w:val="333333"/>
          <w:sz w:val="24"/>
          <w:szCs w:val="24"/>
          <w:shd w:val="clear" w:color="auto" w:fill="FFFFFF"/>
        </w:rPr>
        <w:t>的人文环境，公平的竞争机制，合理的回报，还有崇高的信誉，</w:t>
      </w:r>
      <w:r>
        <w:rPr>
          <w:rFonts w:hint="eastAsia" w:ascii="黑体" w:hAnsi="黑体" w:eastAsia="黑体" w:cs="宋体"/>
          <w:b/>
          <w:bCs/>
          <w:color w:val="FF0000"/>
          <w:sz w:val="24"/>
          <w:szCs w:val="24"/>
          <w:shd w:val="clear" w:color="auto" w:fill="FFFFFF"/>
        </w:rPr>
        <w:t>选择日丰，我们自信为你提供成就事业的非常平台！</w:t>
      </w: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ind w:firstLine="420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z w:val="24"/>
          <w:szCs w:val="24"/>
        </w:rPr>
        <w:t>一、招聘需求</w:t>
      </w:r>
    </w:p>
    <w:tbl>
      <w:tblPr>
        <w:tblStyle w:val="4"/>
        <w:tblW w:w="93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45"/>
        <w:gridCol w:w="1183"/>
        <w:gridCol w:w="5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营销管理类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国内营销岗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1、2025届本科毕业生；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2、国内营销岗不限专业，市场营销、广告学、传媒学等；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3、海外营销岗需国际贸易、市场营销等相关专业，具备英语或俄语、意大利、西班牙、法语等语言特长；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4、具备良好的沟通能力、执行能力、目标管理及团队合作能力。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工作地点：全国/海外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海外营销岗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工程师类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技术制造岗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1、2025届本科、硕士毕业生；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2、技术制造岗需高分子、机械制造、自动化、工业工程、给排水等专业；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3、技术服务岗需给排水工程专业，会AutoCAD等专业软件；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4、专业能力优秀，富有创新思维，具有良好的目标管理及团队合作能力。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工作地点：佛山/省外各基地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技术服务岗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研发岗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1、2025届硕士毕业生；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2、给排水、机械制造、高分子材料加工、模具设计专业；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3、专业能力优秀，富有创新思维，具有良好的目标管理及团队合作能力。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工作地点：佛山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IT岗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1、2025届本科毕业生；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2、计算机科学、软件工程、信息技术等相关专业。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工作地点：佛山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财务岗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1、2025届本科、硕士毕业生；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2、财务岗需财务类及相关专业；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3、供应链岗需物流管理及其相关专业；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4、人力资源岗需人力资源管理相关专业；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5、设计类岗需工业设计、展示设计、室内设计相关专业；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6、专业能力优秀，具有良好的沟通能力、执行能力、目标管理及团队合作能力。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工作地点：佛山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供应链岗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人力岗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设计岗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战略流程岗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1、2025届本科、硕士毕业生；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2、本科工科类专业，研究生经济方面路径最佳；计算机与信息技术类、法务类、工商管理类、财经类相关专业；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3、具备一定逻辑分析能力、沟通能力、协调能力，有一定国际视野。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工作地点：佛山</w:t>
            </w:r>
          </w:p>
        </w:tc>
      </w:tr>
    </w:tbl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sz w:val="24"/>
          <w:szCs w:val="24"/>
        </w:rPr>
      </w:pPr>
    </w:p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二、福利详情</w:t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1、薪酬详情</w:t>
      </w:r>
    </w:p>
    <w:p>
      <w:pPr>
        <w:snapToGrid w:val="0"/>
        <w:spacing w:before="60" w:after="60" w:line="400" w:lineRule="exact"/>
        <w:ind w:firstLine="480" w:firstLineChars="200"/>
        <w:jc w:val="left"/>
        <w:rPr>
          <w:rFonts w:ascii="黑体" w:hAnsi="黑体" w:eastAsia="黑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日丰为员工提供行业内最具竞争力的薪酬，提倡“薪酬与能力、贡献相匹配”的薪酬理念；实行岗位工资+补贴+绩效工资+年终绩效奖金的薪酬结构；</w:t>
      </w:r>
    </w:p>
    <w:p>
      <w:pPr>
        <w:snapToGrid w:val="0"/>
        <w:spacing w:before="60" w:after="60" w:line="400" w:lineRule="exact"/>
        <w:ind w:firstLine="480" w:firstLineChars="200"/>
        <w:jc w:val="left"/>
        <w:rPr>
          <w:rFonts w:ascii="黑体" w:hAnsi="黑体" w:eastAsia="黑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集团的薪酬具有非常好的成长性，年度会根据集团经营及个人绩效进行调薪；集团的持续飞速发展，带来更多的职业发展机会，广阔的发展空间及具有挑战性的工作，并在取得卓越绩效的同时获得丰厚回报。</w:t>
      </w:r>
    </w:p>
    <w:p>
      <w:pPr>
        <w:snapToGrid w:val="0"/>
        <w:spacing w:before="60" w:after="60" w:line="400" w:lineRule="exact"/>
        <w:jc w:val="left"/>
        <w:rPr>
          <w:rFonts w:ascii="黑体" w:hAnsi="黑体" w:eastAsia="黑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>2、</w:t>
      </w:r>
      <w:r>
        <w:rPr>
          <w:rFonts w:hint="eastAsia" w:ascii="黑体" w:hAnsi="黑体" w:eastAsia="黑体" w:cs="宋体"/>
          <w:b/>
          <w:bCs/>
          <w:color w:val="000000"/>
          <w:sz w:val="24"/>
          <w:szCs w:val="24"/>
        </w:rPr>
        <w:t>多样化福利</w:t>
      </w:r>
    </w:p>
    <w:p>
      <w:pPr>
        <w:snapToGrid w:val="0"/>
        <w:spacing w:before="60" w:after="60" w:line="400" w:lineRule="exact"/>
        <w:jc w:val="left"/>
        <w:rPr>
          <w:rFonts w:ascii="黑体" w:hAnsi="黑体" w:eastAsia="黑体" w:cs="宋体"/>
          <w:color w:val="00000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z w:val="24"/>
          <w:szCs w:val="24"/>
        </w:rPr>
        <w:t xml:space="preserve">     企业提供五险一金、免费住宿、只需少量费用即可享用三餐、带薪休假等多重福利。篮球、足球、羽毛球及员工生日会等多样化的员工文体活动丰富员工业余生活。</w:t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三、应聘流程</w:t>
      </w:r>
    </w:p>
    <w:tbl>
      <w:tblPr>
        <w:tblStyle w:val="5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55"/>
        <w:gridCol w:w="2400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步骤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简历投递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关注微信公众号“日丰荟”</w:t>
            </w:r>
            <w:r>
              <w:rPr>
                <w:rFonts w:hint="eastAsia" w:ascii="黑体" w:hAnsi="黑体" w:eastAsia="黑体" w:cs="宋体"/>
                <w:color w:val="333333"/>
                <w:szCs w:val="21"/>
              </w:rPr>
              <w:t>点击“2025届校招”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进行投递</w:t>
            </w:r>
          </w:p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或集团官网</w:t>
            </w:r>
            <w:r>
              <w:rPr>
                <w:rFonts w:ascii="黑体" w:hAnsi="黑体" w:eastAsia="黑体" w:cs="宋体"/>
                <w:color w:val="333333"/>
                <w:szCs w:val="21"/>
              </w:rPr>
              <w:fldChar w:fldCharType="begin"/>
            </w:r>
            <w:r>
              <w:rPr>
                <w:rFonts w:ascii="黑体" w:hAnsi="黑体" w:eastAsia="黑体" w:cs="宋体"/>
                <w:color w:val="333333"/>
                <w:szCs w:val="21"/>
              </w:rPr>
              <w:instrText xml:space="preserve"> HYPERLINK "https://www.rifeng.com.cn/" </w:instrText>
            </w:r>
            <w:r>
              <w:rPr>
                <w:rFonts w:ascii="黑体" w:hAnsi="黑体" w:eastAsia="黑体" w:cs="宋体"/>
                <w:color w:val="333333"/>
                <w:szCs w:val="21"/>
              </w:rPr>
              <w:fldChar w:fldCharType="separate"/>
            </w:r>
            <w:r>
              <w:rPr>
                <w:rStyle w:val="7"/>
                <w:rFonts w:ascii="黑体" w:hAnsi="黑体" w:eastAsia="黑体" w:cs="宋体"/>
                <w:szCs w:val="21"/>
              </w:rPr>
              <w:t>https://www.rifeng.com.cn/</w:t>
            </w:r>
            <w:r>
              <w:rPr>
                <w:rFonts w:ascii="黑体" w:hAnsi="黑体" w:eastAsia="黑体" w:cs="宋体"/>
                <w:color w:val="333333"/>
                <w:szCs w:val="21"/>
              </w:rPr>
              <w:fldChar w:fldCharType="end"/>
            </w:r>
            <w:r>
              <w:rPr>
                <w:rFonts w:ascii="黑体" w:hAnsi="黑体" w:eastAsia="黑体" w:cs="宋体"/>
                <w:color w:val="333333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szCs w:val="21"/>
              </w:rPr>
              <w:t>人力招聘栏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投递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宣讲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现场宣讲会，现场也可扫二维码投递简历；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初试安排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宣讲会结束后1天内短信/邮件通知初试时间和地点；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复试安排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初试后2天内短信/邮件形式通知复试时间及地点安排；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录用&amp;签约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复试后1天内公布录用名单并安排签约座谈会；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校招生实习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025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年3月可根据集团实习岗位要求自愿参加实习；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报到/培训</w:t>
            </w:r>
          </w:p>
        </w:tc>
        <w:tc>
          <w:tcPr>
            <w:tcW w:w="6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202</w:t>
            </w: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年7月全国校招生报到，参加公司统一培训。</w:t>
            </w:r>
          </w:p>
        </w:tc>
      </w:tr>
    </w:tbl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四、行程安排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75"/>
        <w:gridCol w:w="3969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宣讲/面试时间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合肥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  <w:t>合肥工业大学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安徽大学</w:t>
            </w:r>
          </w:p>
        </w:tc>
        <w:tc>
          <w:tcPr>
            <w:tcW w:w="3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安徽建筑大学</w:t>
            </w:r>
          </w:p>
        </w:tc>
        <w:tc>
          <w:tcPr>
            <w:tcW w:w="3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安徽农业大学</w:t>
            </w:r>
          </w:p>
        </w:tc>
        <w:tc>
          <w:tcPr>
            <w:tcW w:w="3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" w:hRule="atLeast"/>
        </w:trPr>
        <w:tc>
          <w:tcPr>
            <w:tcW w:w="19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  <w:t>合肥大学</w:t>
            </w:r>
          </w:p>
        </w:tc>
        <w:tc>
          <w:tcPr>
            <w:tcW w:w="32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 w:cs="宋体"/>
                <w:color w:val="333333"/>
                <w:szCs w:val="21"/>
              </w:rPr>
            </w:pPr>
          </w:p>
        </w:tc>
      </w:tr>
    </w:tbl>
    <w:p>
      <w:pPr>
        <w:snapToGrid w:val="0"/>
        <w:spacing w:before="60" w:after="60" w:line="400" w:lineRule="exact"/>
        <w:jc w:val="lef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 </w:t>
      </w:r>
      <w:bookmarkStart w:id="0" w:name="_GoBack"/>
      <w:bookmarkEnd w:id="0"/>
    </w:p>
    <w:p>
      <w:pPr>
        <w:snapToGrid w:val="0"/>
        <w:spacing w:before="60" w:after="60" w:line="400" w:lineRule="exact"/>
        <w:jc w:val="left"/>
        <w:rPr>
          <w:rFonts w:ascii="黑体" w:hAnsi="黑体" w:eastAsia="黑体" w:cs="宋体"/>
          <w:b/>
          <w:bCs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sz w:val="24"/>
          <w:szCs w:val="24"/>
        </w:rPr>
        <w:t>五、联系我们</w:t>
      </w:r>
    </w:p>
    <w:p>
      <w:pPr>
        <w:snapToGrid w:val="0"/>
        <w:spacing w:before="60" w:after="60" w:line="400" w:lineRule="exact"/>
        <w:jc w:val="lef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公司地址：广东省佛山市祖庙路16号日丰大厦（邮编：528000）                   </w:t>
      </w:r>
      <w:r>
        <w:rPr>
          <w:rFonts w:hint="eastAsia" w:ascii="黑体" w:hAnsi="黑体" w:eastAsia="黑体" w:cs="宋体"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2575" cy="1381125"/>
            <wp:effectExtent l="0" t="0" r="952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 </w:t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>联系电话：0757-82287205     联 系 人：林小姐</w:t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color w:val="0000FF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>更多详情请登录日丰集团官网了解：</w:t>
      </w:r>
      <w:r>
        <w:fldChar w:fldCharType="begin"/>
      </w:r>
      <w:r>
        <w:instrText xml:space="preserve"> HYPERLINK "https://www.rifeng.com.cn/" </w:instrText>
      </w:r>
      <w:r>
        <w:fldChar w:fldCharType="separate"/>
      </w:r>
      <w:r>
        <w:rPr>
          <w:rStyle w:val="7"/>
          <w:rFonts w:ascii="黑体" w:hAnsi="黑体" w:eastAsia="黑体" w:cs="宋体"/>
          <w:sz w:val="24"/>
          <w:szCs w:val="24"/>
        </w:rPr>
        <w:t>https://www.rifeng.com.cn/</w:t>
      </w:r>
      <w:r>
        <w:rPr>
          <w:rStyle w:val="7"/>
          <w:rFonts w:ascii="黑体" w:hAnsi="黑体" w:eastAsia="黑体" w:cs="宋体"/>
          <w:sz w:val="24"/>
          <w:szCs w:val="24"/>
        </w:rPr>
        <w:fldChar w:fldCharType="end"/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>或可关注日丰集团人资官微“日丰荟”了解实时宣讲行程信息—→</w:t>
      </w:r>
    </w:p>
    <w:p>
      <w:pPr>
        <w:snapToGrid w:val="0"/>
        <w:spacing w:before="60" w:after="60" w:line="400" w:lineRule="exact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rPr>
          <w:rFonts w:ascii="黑体" w:hAnsi="黑体" w:eastAsia="黑体" w:cs="宋体"/>
          <w:color w:val="333333"/>
          <w:sz w:val="24"/>
          <w:szCs w:val="24"/>
        </w:rPr>
      </w:pPr>
    </w:p>
    <w:p>
      <w:pPr>
        <w:snapToGrid w:val="0"/>
        <w:spacing w:before="60" w:after="60" w:line="400" w:lineRule="exact"/>
        <w:jc w:val="righ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                                                       日丰企业集团有限公司</w:t>
      </w:r>
    </w:p>
    <w:p>
      <w:pPr>
        <w:snapToGrid w:val="0"/>
        <w:spacing w:before="60" w:after="60" w:line="400" w:lineRule="exact"/>
        <w:jc w:val="righ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                                                                人力资源部</w:t>
      </w:r>
    </w:p>
    <w:p>
      <w:pPr>
        <w:snapToGrid w:val="0"/>
        <w:spacing w:before="60" w:after="60" w:line="400" w:lineRule="exact"/>
        <w:jc w:val="right"/>
        <w:rPr>
          <w:rFonts w:ascii="黑体" w:hAnsi="黑体" w:eastAsia="黑体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 xml:space="preserve">                                                                202</w:t>
      </w:r>
      <w:r>
        <w:rPr>
          <w:rFonts w:ascii="黑体" w:hAnsi="黑体" w:eastAsia="黑体" w:cs="宋体"/>
          <w:color w:val="333333"/>
          <w:sz w:val="24"/>
          <w:szCs w:val="24"/>
        </w:rPr>
        <w:t>4</w:t>
      </w:r>
      <w:r>
        <w:rPr>
          <w:rFonts w:hint="eastAsia" w:ascii="黑体" w:hAnsi="黑体" w:eastAsia="黑体" w:cs="宋体"/>
          <w:color w:val="333333"/>
          <w:sz w:val="24"/>
          <w:szCs w:val="24"/>
        </w:rPr>
        <w:t>年8月</w:t>
      </w:r>
    </w:p>
    <w:sectPr>
      <w:headerReference r:id="rId3" w:type="default"/>
      <w:pgSz w:w="11906" w:h="16838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60" w:after="60" w:line="312" w:lineRule="auto"/>
      <w:jc w:val="left"/>
      <w:rPr>
        <w:rFonts w:ascii="宋体" w:hAnsi="宋体" w:eastAsia="宋体"/>
        <w:color w:val="333333"/>
        <w:sz w:val="18"/>
        <w:szCs w:val="18"/>
      </w:rPr>
    </w:pPr>
    <w:r>
      <w:drawing>
        <wp:inline distT="0" distB="0" distL="0" distR="0">
          <wp:extent cx="819150" cy="228600"/>
          <wp:effectExtent l="0" t="0" r="381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YjdlZGQ2MmJlNzcxOGViNDNhZDYyMGRkMjZhODkifQ=="/>
    <w:docVar w:name="KSO_WPS_MARK_KEY" w:val="78170145-73f0-459f-b23c-446e46f9e544"/>
  </w:docVars>
  <w:rsids>
    <w:rsidRoot w:val="00BA0C1A"/>
    <w:rsid w:val="00062EE6"/>
    <w:rsid w:val="00073245"/>
    <w:rsid w:val="000C51B7"/>
    <w:rsid w:val="001B7CA8"/>
    <w:rsid w:val="00216EB9"/>
    <w:rsid w:val="00405636"/>
    <w:rsid w:val="00501D1C"/>
    <w:rsid w:val="00516A42"/>
    <w:rsid w:val="00552C09"/>
    <w:rsid w:val="0059531B"/>
    <w:rsid w:val="005D4535"/>
    <w:rsid w:val="00616505"/>
    <w:rsid w:val="0062213C"/>
    <w:rsid w:val="00633F40"/>
    <w:rsid w:val="006549AD"/>
    <w:rsid w:val="00684D9C"/>
    <w:rsid w:val="007C1C05"/>
    <w:rsid w:val="00862F70"/>
    <w:rsid w:val="00972D34"/>
    <w:rsid w:val="009D155B"/>
    <w:rsid w:val="00A60633"/>
    <w:rsid w:val="00AC1E62"/>
    <w:rsid w:val="00B06548"/>
    <w:rsid w:val="00BA0C1A"/>
    <w:rsid w:val="00C061CB"/>
    <w:rsid w:val="00C604EC"/>
    <w:rsid w:val="00DE4446"/>
    <w:rsid w:val="00DE69A7"/>
    <w:rsid w:val="00E26251"/>
    <w:rsid w:val="00E546E7"/>
    <w:rsid w:val="00E72C51"/>
    <w:rsid w:val="00EA1EE8"/>
    <w:rsid w:val="00F53662"/>
    <w:rsid w:val="00F64355"/>
    <w:rsid w:val="016874B2"/>
    <w:rsid w:val="020F5E4F"/>
    <w:rsid w:val="03063A69"/>
    <w:rsid w:val="083D07F0"/>
    <w:rsid w:val="105E3B74"/>
    <w:rsid w:val="14152D33"/>
    <w:rsid w:val="1C2C4424"/>
    <w:rsid w:val="1CD54CE6"/>
    <w:rsid w:val="1DEC38DC"/>
    <w:rsid w:val="22CF0F38"/>
    <w:rsid w:val="27DA0EAD"/>
    <w:rsid w:val="27DB7A1D"/>
    <w:rsid w:val="30456175"/>
    <w:rsid w:val="317038E6"/>
    <w:rsid w:val="36772279"/>
    <w:rsid w:val="375F6BFE"/>
    <w:rsid w:val="38564D51"/>
    <w:rsid w:val="39956ED1"/>
    <w:rsid w:val="3AE74C19"/>
    <w:rsid w:val="3FD930D9"/>
    <w:rsid w:val="434067C1"/>
    <w:rsid w:val="4E41068C"/>
    <w:rsid w:val="4EA813C2"/>
    <w:rsid w:val="568D20C3"/>
    <w:rsid w:val="56903F5F"/>
    <w:rsid w:val="591E1CF6"/>
    <w:rsid w:val="5F4E71AE"/>
    <w:rsid w:val="61C8375E"/>
    <w:rsid w:val="62EF6F21"/>
    <w:rsid w:val="64F65384"/>
    <w:rsid w:val="6BEC15C4"/>
    <w:rsid w:val="6C111246"/>
    <w:rsid w:val="6EAF13B0"/>
    <w:rsid w:val="6F0E64E6"/>
    <w:rsid w:val="71061E72"/>
    <w:rsid w:val="74297851"/>
    <w:rsid w:val="758019E0"/>
    <w:rsid w:val="75DE3D55"/>
    <w:rsid w:val="79464C25"/>
    <w:rsid w:val="7A3B2499"/>
    <w:rsid w:val="7A4B2803"/>
    <w:rsid w:val="7E6C693B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2095</Words>
  <Characters>2235</Characters>
  <Lines>19</Lines>
  <Paragraphs>5</Paragraphs>
  <TotalTime>8694</TotalTime>
  <ScaleCrop>false</ScaleCrop>
  <LinksUpToDate>false</LinksUpToDate>
  <CharactersWithSpaces>2454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刘嘉欣</cp:lastModifiedBy>
  <dcterms:modified xsi:type="dcterms:W3CDTF">2024-09-02T03:53:19Z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6A4A25A818EF4703A23D14749584A20B</vt:lpwstr>
  </property>
</Properties>
</file>